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2012/176 vom 1. März 2013</w:t>
      </w:r>
    </w:p>
    <w:p>
      <w:r>
        <w:t>Sg Versicherungsgericht, 2013-03-01, DE</w:t>
      </w:r>
    </w:p>
    <w:p>
      <w:r>
        <w:rPr>
          <w:b/>
        </w:rPr>
        <w:t xml:space="preserve">Quelle: </w:t>
      </w:r>
      <w:r>
        <w:t>https://mcp.opencaselaw.ch/entscheid/sg_publikationen_IV 2012_176</w:t>
      </w:r>
    </w:p>
    <w:p>
      <w:r>
        <w:t>FR: SG_VERSICHERUNGSGERICHT IV 2012/176 du 1 mars 2013</w:t>
      </w:r>
    </w:p>
    <w:p>
      <w:r>
        <w:t>IT: SG_VERSICHERUNGSGERICHT IV 2012/176 del 1 marzo 2013</w:t>
      </w:r>
    </w:p>
    <w:p>
      <w:pPr>
        <w:pStyle w:val="Heading2"/>
      </w:pPr>
      <w:r>
        <w:t>Regeste</w:t>
      </w:r>
    </w:p>
    <w:p>
      <w:r>
        <w:t>Art. 8 IVG: Eingliederungsmassnahmen. Rückweisung an Vorinstanz zur Prüfung von Eingliederungsmassnahmen (Entscheid des Versicherungsgerichts des Kantons St.Gallen vom 1. März 2013, IV 2012/176).</w:t>
      </w:r>
    </w:p>
    <w:p>
      <w:pPr>
        <w:pStyle w:val="Heading2"/>
      </w:pPr>
      <w:r>
        <w:t>Erwägungen</w:t>
      </w:r>
    </w:p>
    <w:p>
      <w:r>
        <w:rPr>
          <w:b/>
        </w:rPr>
        <w:t>E. 1</w:t>
      </w:r>
    </w:p>
    <w:p>
      <w:r>
        <w:t>Mit der angefochtenen Verfügung hat die Beschwerdegegnerin einen Anspruch des Beschwerdeführers auf eine Rente abgelehnt. Streitgegenstand bildet daher zunächst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des Beschwerdeführers zu Massnahmen korrekt in Anspruch genommen habe. Sowohl die Rentenfrage als auch die Frage eines allfälligen Anspruchs auf berufliche Massnahmen bilden vorliegend demnach An­fechtungsgegenstand.</w:t>
      </w:r>
    </w:p>
    <w:p>
      <w:r>
        <w:rPr>
          <w:b/>
        </w:rPr>
        <w:t>E. 2</w:t>
      </w:r>
    </w:p>
    <w:p>
      <w:r>
        <w:t>2.1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2.2    In einem zweiten Schritt erfolgt sodann eine juristische bzw. erwerbliche Beurteilung der im Gutachten geschilderten medizinischen Beurteilungen. Die Gutachten werden im juristischen Kontext auf ihre Schlüssigkeit und Nachvollziehbarkeit überprüft. Zudem müssen die Gutachten vollständig sein und die gestellten Fragen beantworten. Die er­werbliche Beurteilung schlägt sich dann in der Berechnung des Invaliditätsgrades nieder, was gewissermassen eine Folge der ärztlichen Beurteilungen darstellt.</w:t>
      </w:r>
    </w:p>
    <w:p>
      <w:r>
        <w:rPr>
          <w:b/>
        </w:rPr>
        <w:t>E. 3</w:t>
      </w:r>
    </w:p>
    <w:p>
      <w:r>
        <w:t>Als erstes ist die medizinische Aktenlage zu würdigen. Im Zentrum stehen dabei die Einschätzungen des RAD und das Gutachten von Dr. E.___. 3.1    Aufgrund seiner Untersuchung vom 15. Dezember 2010 stellte RAD-Arzt Dr. D.___ zunächst fest, die körperliche Leistungsfähigkeit des Beschwerdeführers sei durch die Schädigung des rechten Kniegelenks dauerhaft eingeschränkt. Er hielt aber die Aus­übung einer körperlich leichten Tätigkeit im Sitzen zu 100% für möglich, wobei die ge­plante Operation mit erneutem Wechsel der Knie-TP (wie geplant) postoperativ voraus­sichtlich zu einer dreimonatigen Arbeitsunfähigkeit in allen Tätigkeiten führen dürfte. Ob Eingliederungsmassnahmen bei diesem Sachverhalt bereits zum aktuellen Zeitpunkt durchgeführt werden könnten, liess der RAD-Arzt offen und verwies auf die Zuständig­keit der Eingliederungsberatung (IV-act. 32). 3.2    Im Rahmen seiner Beurteilung vom 15. Juli 2011 – nach Durchführung der letzten Knieoperation und dem Rehabilitationsaufenthalt in der Klinik Valens – hielt RAD-Arzt Dr. D.___ dafür, für die Prüfung beruflicher Eingliederungsmassnahmen könne provi­sorisch von einer 50 %igen Arbeitsfähigkeit in einer adaptierten, d.h. körperlich leichten, vorwiegend sitzenden Tätigkeit ausgegangen werden (IV-act. 57). 3.3    Gemäss Gutachten von Dr. E.___ vom 1. Februar 2012 fällt für den Beschwerdeführer jede stehende oder gehende Tätigkeit weg. Eine sitzende Be­schäftigung wird vollschichtig für möglich gehalten unter der Voraussetzung, dass halb­stündlich einige Schritte gemacht werden könnten. Zudem müsste beim Arbeitsweg die Gehstrecke zum öffentlichen Verkehr unter 500m betragen. Der letzte Prothesen­wechsel habe zwar die mechanischen Instabilitäten verbessert; geblieben sei eine Un­sicherheit aus muskulären Gründen, was fast permanent den Gebrauch der Stöcke erfordere. Sitzende Tätigkeiten hält der Gutachter für möglich. Allerdings könnten auch keine kurzen stehenden Einsätze mehr geleistet werden (IV-act. 81). 3.4     Das Gutachten von Dr. E.___ ist ausführlich und stringent. Es enthält alle Diagnosen und wichtigen Befunde und geht detailliert auf die Krankengeschichte und die aktuell geklagten Beschwerden des Beschwerdeführers ein. Die Schlussfolgerungen sind nachvollziehbar. Die Ergebnisse des Gutachtens stehen letztlich auch im Einklang mit den vorausgegangenen Beurteilungen durch den RAD-Arzt. Dieser bezeichnete die Arbeitsfähigkeitsschätzung vom Juli 2011 noch als "provisorisch". Der Hausarzt des Be­schwerdeführers attestierte diesem in seinem Bericht vom 12. Oktober 2012 hingegen lediglich eine Leistungsfähigkeit von 50-70% in leidensadaptierten Tätigkeiten, die er wohl vollschichtig ausüben könnte (IV-act. G 11.1). Es fehlt jedoch eine Begründung für die geschätzte Beeinträchtigung der Leistungsfähigkeit (act. G11.1). Insgesamt gibt es aufgrund der vorliegenden medizinischen Aktenlage keinen Anlass zu Zweifeln an der Einschätzung des Gutachters Dr. E.___. Es ist deshalb darauf abzustellen und entsprechend von voller Leistungsfähigkeit in einer als adaptiert umschriebenen Tätig­keit auszugehen.</w:t>
      </w:r>
    </w:p>
    <w:p>
      <w:r>
        <w:rPr>
          <w:b/>
        </w:rPr>
        <w:t>E. 4</w:t>
      </w:r>
    </w:p>
    <w:p>
      <w:r>
        <w:t>4.1    Nach der Begutachtung des Beschwerdeführers durch Dr. E.___ im Januar 2012 hat die Beschwerdegegnerin keine Eingliederungsmassnahmen mehr geprüft. Dies, obwohl früher (April 2011 und September 2011) berufliche Massnahmen "mangels stabilen Gesundheitszustands" für unmöglich erachtet worden waren. Gemäss Gut­achten E.___ ist nun allerdings qualitativ von einer erheblich eingeschränkten Arbeitsfähigkeit des Beschwerdeführers auszugehen. Es ist für ihn nur noch eine sitzende Tätigkeit möglich, wobei er zudem Gelegenheit haben muss, halbstündlich einige Schritte zu machen. Damit dürften Tätigkeiten im Produktionssektor weitgehend ausser Betracht fallen; im Dienstleistungssektor wäre am ehesten eine leichte Büro­arbeit denkbar. Ob die intellektuellen Ressourcen und die bildungsmässigen Voraus­setzungen des Beschwerdeführers hiefür ausreichen, ist fraglich. Jedenfalls erscheint es unter den gegebenen Umständen nicht vertretbar, ohne weiteres von einer vollen und unmittelbaren Verwertbarkeit der medizinisch-theoretisch attestierten (qualitativ aber erheblich eingeschränkten) Arbeitsfähigkeit auszugehen – und dabei noch die unein­geschränkte Fähigkeit des Beschwerdeführers zur Selbsteingliederung vorauszusetzen. Dies hat denn auch der RAD-Arzt im Rahmen seiner Beurteilungen nicht angenommen. 4.2     Die Sache ist daher an die Beschwerdegegnerin zurückzuweisen, damit sie Mass­nahmen zur beruflichen Eingliederung prüft und gegebenenfalls solche in die Wege leitet. Denkbar wären etwa eine berufliche Abklärung und gestützt auf deren Ergeb­nisse die Unterstützung bei der Suche einer geeigneten Arbeitsstelle. Auch eine Ein­arbeitungsunterstützung oder die Finanzierung von Trainings und Kursen, die den intellektuellen Ressourcen entsprechen, käme in Frage.</w:t>
      </w:r>
    </w:p>
    <w:p>
      <w:r>
        <w:rPr>
          <w:b/>
        </w:rPr>
        <w:t>E. 5</w:t>
      </w:r>
    </w:p>
    <w:p>
      <w:r>
        <w:t>Solange Eingliederungsmassnahmen nicht geprüft und gegebenenfalls durchge­führt worden sind, kann über den Rentenanspruch nicht entschieden werden. Immerhin ist festzuhalten, dass vorliegend ein Rentenanspruch frühestens ab November 2010 (sechs Monate nach der IV-Anmeldung im Mai 2010) entstanden sein könnte. Die 100%-ige Arbeitsunfähigkeit des Beschwerdeführers in der früheren Tätigkeit als Stahlmonteur ist ausgewiesen und unbestritten. Wegen seines instabilen Gesundheits­zustandes, der eine weitere Operation im Jahr 2011 notwendig machte, ist bis Juni 2011 wohl eine 100%-ige Arbeitsunfähigkeit anzunehmen. Frühestens ab Juli 2011 könnte eine Arbeitsfähigkeit in einer adaptierten Tätigkeit möglich geworden sein. Die Be­schwerdegegnerin wird nach Prüfung und Durchführung allfälliger beruflicher Mass­nahmen über den (allenfalls vorübergehenden) Rentenanspruch noch zu verfügen haben.</w:t>
      </w:r>
    </w:p>
    <w:p>
      <w:r>
        <w:rPr>
          <w:b/>
        </w:rPr>
        <w:t>E. 6</w:t>
      </w:r>
    </w:p>
    <w:p>
      <w:r>
        <w:t>6.1    In Gutheissung der Beschwerde ist die angefochtene Verfügung aufzuheben und die Sache im Sinn der Erwägungen zur Prüfung und allfälliger Durchführung beruflicher Massnahmen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Beschwerdegegnerin hat entsprechend dem Verfahrens­ausgang die gesamte Gerichtsgebühr von Fr. 600.-- zu bezahlen. 6.3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Gutheissung der Beschwerde wird die angefochtene Verfügung vom 29. März 2012 aufgehoben. Die Sache wird im Sinn der Erwägungen zur Prüfung und allfälliger Durchführung beruflicher Massnahmen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